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pacing w:line="480" w:lineRule="auto"/>
        <w:jc w:val="center"/>
        <w:rPr>
          <w:rFonts w:ascii="Times New Roman" w:hAnsi="Times New Roman" w:cs="Times New Roman"/>
        </w:rPr>
      </w:pPr>
      <w:r w:rsidRPr="000F4CDC">
        <w:rPr>
          <w:rFonts w:ascii="Times New Roman" w:hAnsi="Times New Roman" w:cs="Times New Roman"/>
        </w:rPr>
        <w:t xml:space="preserve">Memorandum </w:t>
      </w:r>
    </w:p>
    <w:p w:rsidR="00346CAA" w:rsidRPr="000F4CDC" w:rsidRDefault="00346CAA" w:rsidP="00346CAA">
      <w:pPr>
        <w:spacing w:line="480" w:lineRule="auto"/>
        <w:jc w:val="center"/>
        <w:rPr>
          <w:rFonts w:ascii="Times New Roman" w:hAnsi="Times New Roman" w:cs="Times New Roman"/>
        </w:rPr>
      </w:pPr>
      <w:r w:rsidRPr="000F4CDC">
        <w:rPr>
          <w:rFonts w:ascii="Times New Roman" w:hAnsi="Times New Roman" w:cs="Times New Roman"/>
        </w:rPr>
        <w:t>Student’s Name</w:t>
      </w:r>
    </w:p>
    <w:p w:rsidR="00346CAA" w:rsidRPr="000F4CDC" w:rsidRDefault="00346CAA" w:rsidP="00346CAA">
      <w:pPr>
        <w:spacing w:line="480" w:lineRule="auto"/>
        <w:jc w:val="center"/>
        <w:rPr>
          <w:rFonts w:ascii="Times New Roman" w:hAnsi="Times New Roman" w:cs="Times New Roman"/>
        </w:rPr>
      </w:pPr>
      <w:r w:rsidRPr="000F4CDC">
        <w:rPr>
          <w:rFonts w:ascii="Times New Roman" w:hAnsi="Times New Roman" w:cs="Times New Roman"/>
        </w:rPr>
        <w:t>Instructor’s Name</w:t>
      </w:r>
    </w:p>
    <w:p w:rsidR="00346CAA" w:rsidRPr="000F4CDC" w:rsidRDefault="00346CAA" w:rsidP="00346CAA">
      <w:pPr>
        <w:spacing w:line="480" w:lineRule="auto"/>
        <w:jc w:val="center"/>
        <w:rPr>
          <w:rFonts w:ascii="Times New Roman" w:hAnsi="Times New Roman" w:cs="Times New Roman"/>
        </w:rPr>
      </w:pPr>
      <w:r w:rsidRPr="000F4CDC">
        <w:rPr>
          <w:rFonts w:ascii="Times New Roman" w:hAnsi="Times New Roman" w:cs="Times New Roman"/>
        </w:rPr>
        <w:t>Date</w:t>
      </w: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Default="00346CAA" w:rsidP="00346CAA">
      <w:pPr>
        <w:shd w:val="clear" w:color="auto" w:fill="FFFFFF"/>
        <w:spacing w:line="480" w:lineRule="auto"/>
        <w:jc w:val="both"/>
        <w:rPr>
          <w:rFonts w:ascii="Times New Roman" w:hAnsi="Times New Roman" w:cs="Times New Roman"/>
          <w:spacing w:val="3"/>
          <w:bdr w:val="none" w:sz="0" w:space="0" w:color="auto" w:frame="1"/>
        </w:rPr>
      </w:pPr>
      <w:r w:rsidRPr="000F4CDC">
        <w:rPr>
          <w:rFonts w:ascii="Times New Roman" w:hAnsi="Times New Roman" w:cs="Times New Roman"/>
          <w:spacing w:val="3"/>
          <w:bdr w:val="none" w:sz="0" w:space="0" w:color="auto" w:frame="1"/>
        </w:rPr>
        <w:lastRenderedPageBreak/>
        <w:t>To: Candie Cardigan, CEO</w:t>
      </w:r>
      <w:r w:rsidRPr="000F4CDC">
        <w:rPr>
          <w:rFonts w:ascii="Times New Roman" w:hAnsi="Times New Roman" w:cs="Times New Roman"/>
          <w:spacing w:val="3"/>
        </w:rPr>
        <w:t xml:space="preserve"> </w:t>
      </w:r>
      <w:r w:rsidRPr="000F4CDC">
        <w:rPr>
          <w:rFonts w:ascii="Times New Roman" w:hAnsi="Times New Roman" w:cs="Times New Roman"/>
          <w:spacing w:val="3"/>
          <w:bdr w:val="none" w:sz="0" w:space="0" w:color="auto" w:frame="1"/>
        </w:rPr>
        <w:t>CARDWARE Inc.</w:t>
      </w:r>
    </w:p>
    <w:p w:rsidR="00346CAA" w:rsidRPr="007E327B" w:rsidRDefault="00346CAA" w:rsidP="00346CAA">
      <w:pPr>
        <w:shd w:val="clear" w:color="auto" w:fill="FFFFFF"/>
        <w:spacing w:line="480" w:lineRule="auto"/>
        <w:jc w:val="both"/>
        <w:rPr>
          <w:rFonts w:ascii="Times New Roman" w:hAnsi="Times New Roman" w:cs="Times New Roman"/>
          <w:spacing w:val="3"/>
        </w:rPr>
      </w:pPr>
      <w:r w:rsidRPr="000F4CDC">
        <w:rPr>
          <w:rFonts w:ascii="Times New Roman" w:hAnsi="Times New Roman" w:cs="Times New Roman"/>
          <w:spacing w:val="3"/>
          <w:bdr w:val="none" w:sz="0" w:space="0" w:color="auto" w:frame="1"/>
        </w:rPr>
        <w:t>From: Rodgers Blant, Lawyer.</w:t>
      </w:r>
    </w:p>
    <w:p w:rsidR="00346CAA" w:rsidRPr="000F4CDC" w:rsidRDefault="00346CAA" w:rsidP="00346CAA">
      <w:pPr>
        <w:shd w:val="clear" w:color="auto" w:fill="FFFFFF"/>
        <w:spacing w:line="480" w:lineRule="auto"/>
        <w:jc w:val="both"/>
        <w:rPr>
          <w:rFonts w:ascii="Times New Roman" w:hAnsi="Times New Roman" w:cs="Times New Roman"/>
          <w:spacing w:val="3"/>
        </w:rPr>
      </w:pPr>
      <w:r w:rsidRPr="000F4CDC">
        <w:rPr>
          <w:rFonts w:ascii="Times New Roman" w:hAnsi="Times New Roman" w:cs="Times New Roman"/>
          <w:spacing w:val="3"/>
          <w:bdr w:val="none" w:sz="0" w:space="0" w:color="auto" w:frame="1"/>
        </w:rPr>
        <w:t>Date: February 22, 2020</w:t>
      </w: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r w:rsidRPr="000F4CDC">
        <w:rPr>
          <w:rFonts w:ascii="Times New Roman" w:hAnsi="Times New Roman" w:cs="Times New Roman"/>
          <w:spacing w:val="3"/>
          <w:bdr w:val="none" w:sz="0" w:space="0" w:color="auto" w:frame="1"/>
        </w:rPr>
        <w:t>Re: Negligence Requirements and Potential Defenses to Myra’s Claim</w:t>
      </w:r>
      <w:r>
        <w:rPr>
          <w:rFonts w:ascii="Times New Roman" w:hAnsi="Times New Roman" w:cs="Times New Roman"/>
          <w:spacing w:val="3"/>
          <w:bdr w:val="none" w:sz="0" w:space="0" w:color="auto" w:frame="1"/>
        </w:rPr>
        <w:t>s</w:t>
      </w:r>
      <w:r w:rsidRPr="000F4CDC">
        <w:rPr>
          <w:rFonts w:ascii="Times New Roman" w:hAnsi="Times New Roman" w:cs="Times New Roman"/>
          <w:spacing w:val="3"/>
          <w:bdr w:val="none" w:sz="0" w:space="0" w:color="auto" w:frame="1"/>
        </w:rPr>
        <w:t>.</w:t>
      </w: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r w:rsidRPr="000F4CDC">
        <w:rPr>
          <w:rFonts w:ascii="Times New Roman" w:hAnsi="Times New Roman" w:cs="Times New Roman"/>
          <w:spacing w:val="3"/>
          <w:bdr w:val="none" w:sz="0" w:space="0" w:color="auto" w:frame="1"/>
        </w:rPr>
        <w:tab/>
      </w:r>
      <w:r w:rsidRPr="000F4CDC">
        <w:rPr>
          <w:rFonts w:ascii="Times New Roman" w:hAnsi="Times New Roman" w:cs="Times New Roman"/>
          <w:spacing w:val="3"/>
          <w:bdr w:val="none" w:sz="0" w:space="0" w:color="auto" w:frame="1"/>
        </w:rPr>
        <w:tab/>
      </w:r>
      <w:r w:rsidRPr="000F4CDC">
        <w:rPr>
          <w:rFonts w:ascii="Times New Roman" w:hAnsi="Times New Roman" w:cs="Times New Roman"/>
          <w:spacing w:val="3"/>
          <w:bdr w:val="none" w:sz="0" w:space="0" w:color="auto" w:frame="1"/>
        </w:rPr>
        <w:tab/>
      </w:r>
      <w:r w:rsidRPr="000F4CDC">
        <w:rPr>
          <w:rFonts w:ascii="Times New Roman" w:hAnsi="Times New Roman" w:cs="Times New Roman"/>
          <w:spacing w:val="3"/>
          <w:bdr w:val="none" w:sz="0" w:space="0" w:color="auto" w:frame="1"/>
        </w:rPr>
        <w:tab/>
      </w:r>
      <w:r w:rsidRPr="000F4CDC">
        <w:rPr>
          <w:rFonts w:ascii="Times New Roman" w:hAnsi="Times New Roman" w:cs="Times New Roman"/>
          <w:spacing w:val="3"/>
          <w:bdr w:val="none" w:sz="0" w:space="0" w:color="auto" w:frame="1"/>
        </w:rPr>
        <w:tab/>
        <w:t>Memorandum</w:t>
      </w:r>
    </w:p>
    <w:p w:rsidR="00346CAA" w:rsidRPr="00D825A1" w:rsidRDefault="00346CAA" w:rsidP="00346CAA">
      <w:pPr>
        <w:shd w:val="clear" w:color="auto" w:fill="FFFFFF"/>
        <w:spacing w:line="480" w:lineRule="auto"/>
        <w:rPr>
          <w:rFonts w:ascii="Times New Roman" w:eastAsia="Times New Roman" w:hAnsi="Times New Roman" w:cs="Times New Roman"/>
          <w:spacing w:val="3"/>
          <w:bdr w:val="none" w:sz="0" w:space="0" w:color="auto" w:frame="1"/>
        </w:rPr>
      </w:pPr>
      <w:r w:rsidRPr="00D825A1">
        <w:rPr>
          <w:rFonts w:ascii="Times New Roman" w:hAnsi="Times New Roman" w:cs="Times New Roman"/>
          <w:spacing w:val="3"/>
          <w:bdr w:val="none" w:sz="0" w:space="0" w:color="auto" w:frame="1"/>
        </w:rPr>
        <w:t xml:space="preserve">Following cause of action taken against your company by Myra, the presiding judge at </w:t>
      </w:r>
      <w:r w:rsidRPr="00D825A1">
        <w:rPr>
          <w:rFonts w:ascii="Times New Roman" w:hAnsi="Times New Roman" w:cs="Times New Roman"/>
          <w:color w:val="494C4E"/>
          <w:spacing w:val="3"/>
          <w:bdr w:val="none" w:sz="0" w:space="0" w:color="auto" w:frame="1"/>
        </w:rPr>
        <w:t>Easton Hotel</w:t>
      </w:r>
      <w:r w:rsidRPr="00D825A1">
        <w:rPr>
          <w:rFonts w:ascii="Times New Roman" w:hAnsi="Times New Roman" w:cs="Times New Roman"/>
          <w:spacing w:val="3"/>
          <w:bdr w:val="none" w:sz="0" w:space="0" w:color="auto" w:frame="1"/>
        </w:rPr>
        <w:t xml:space="preserve"> modeling event. This memorandum is hereby conscripted to inform you of the precise area in which your company’s legal officer would exercise his or her skills. The areas of concern consist of </w:t>
      </w:r>
      <w:r w:rsidRPr="00D825A1">
        <w:rPr>
          <w:rFonts w:ascii="Times New Roman" w:eastAsia="Times New Roman" w:hAnsi="Times New Roman" w:cs="Times New Roman"/>
          <w:spacing w:val="3"/>
          <w:bdr w:val="none" w:sz="0" w:space="0" w:color="auto" w:frame="1"/>
        </w:rPr>
        <w:t xml:space="preserve">elements Myra must </w:t>
      </w:r>
      <w:r>
        <w:rPr>
          <w:rFonts w:ascii="Times New Roman" w:eastAsia="Times New Roman" w:hAnsi="Times New Roman" w:cs="Times New Roman"/>
          <w:spacing w:val="3"/>
          <w:bdr w:val="none" w:sz="0" w:space="0" w:color="auto" w:frame="1"/>
        </w:rPr>
        <w:t>attempt</w:t>
      </w:r>
      <w:r w:rsidRPr="00D825A1">
        <w:rPr>
          <w:rFonts w:ascii="Times New Roman" w:eastAsia="Times New Roman" w:hAnsi="Times New Roman" w:cs="Times New Roman"/>
          <w:spacing w:val="3"/>
          <w:bdr w:val="none" w:sz="0" w:space="0" w:color="auto" w:frame="1"/>
        </w:rPr>
        <w:t xml:space="preserve"> to </w:t>
      </w:r>
      <w:r>
        <w:rPr>
          <w:rFonts w:ascii="Times New Roman" w:eastAsia="Times New Roman" w:hAnsi="Times New Roman" w:cs="Times New Roman"/>
          <w:spacing w:val="3"/>
          <w:bdr w:val="none" w:sz="0" w:space="0" w:color="auto" w:frame="1"/>
        </w:rPr>
        <w:t>come up with</w:t>
      </w:r>
      <w:r w:rsidRPr="00D825A1">
        <w:rPr>
          <w:rFonts w:ascii="Times New Roman" w:eastAsia="Times New Roman" w:hAnsi="Times New Roman" w:cs="Times New Roman"/>
          <w:spacing w:val="3"/>
          <w:bdr w:val="none" w:sz="0" w:space="0" w:color="auto" w:frame="1"/>
        </w:rPr>
        <w:t xml:space="preserve"> a cause of action on negligence </w:t>
      </w:r>
      <w:r>
        <w:rPr>
          <w:rFonts w:ascii="Times New Roman" w:eastAsia="Times New Roman" w:hAnsi="Times New Roman" w:cs="Times New Roman"/>
          <w:spacing w:val="3"/>
          <w:bdr w:val="none" w:sz="0" w:space="0" w:color="auto" w:frame="1"/>
        </w:rPr>
        <w:t xml:space="preserve">basis </w:t>
      </w:r>
      <w:r w:rsidRPr="00D825A1">
        <w:rPr>
          <w:rFonts w:ascii="Times New Roman" w:eastAsia="Times New Roman" w:hAnsi="Times New Roman" w:cs="Times New Roman"/>
          <w:spacing w:val="3"/>
          <w:bdr w:val="none" w:sz="0" w:space="0" w:color="auto" w:frame="1"/>
        </w:rPr>
        <w:t>and possible defenses your company could apply to counter Myra’s claim. It concludes with the paralegal suggestion on the best action of defense CARDWARE and Candie could take to win the petitioner’s suit.</w:t>
      </w:r>
    </w:p>
    <w:p w:rsidR="00346CAA" w:rsidRPr="00D825A1" w:rsidRDefault="00346CAA" w:rsidP="00346CAA">
      <w:pPr>
        <w:shd w:val="clear" w:color="auto" w:fill="FFFFFF"/>
        <w:spacing w:line="480" w:lineRule="auto"/>
        <w:rPr>
          <w:rFonts w:ascii="Times New Roman" w:eastAsia="Times New Roman" w:hAnsi="Times New Roman" w:cs="Times New Roman"/>
          <w:spacing w:val="3"/>
          <w:bdr w:val="none" w:sz="0" w:space="0" w:color="auto" w:frame="1"/>
        </w:rPr>
      </w:pPr>
      <w:r w:rsidRPr="00D825A1">
        <w:rPr>
          <w:rFonts w:ascii="Times New Roman" w:eastAsia="Times New Roman" w:hAnsi="Times New Roman" w:cs="Times New Roman"/>
          <w:spacing w:val="3"/>
          <w:bdr w:val="none" w:sz="0" w:space="0" w:color="auto" w:frame="1"/>
        </w:rPr>
        <w:t>For Myra to win a negligence suit against you, she must stand a chance to prove four elements of negligence charge. The quadruple is duty, breach, cause and finally harm. A duty is merely a legal obligation (Lundy &amp; Smith, 2018). CARDWARE and Candie ought to owe Myra, for a negligence suit to be filed. Therefore, Myra should ensure that the four elements are met to launch a negligence claim against you.</w:t>
      </w:r>
    </w:p>
    <w:p w:rsidR="00346CAA" w:rsidRPr="00D825A1" w:rsidRDefault="00346CAA" w:rsidP="00346CAA">
      <w:pPr>
        <w:shd w:val="clear" w:color="auto" w:fill="FFFFFF"/>
        <w:spacing w:line="480" w:lineRule="auto"/>
        <w:rPr>
          <w:rFonts w:ascii="Times New Roman" w:hAnsi="Times New Roman" w:cs="Times New Roman"/>
        </w:rPr>
      </w:pPr>
      <w:r w:rsidRPr="00D825A1">
        <w:rPr>
          <w:rFonts w:ascii="Times New Roman" w:eastAsia="Times New Roman" w:hAnsi="Times New Roman" w:cs="Times New Roman"/>
          <w:spacing w:val="3"/>
          <w:bdr w:val="none" w:sz="0" w:space="0" w:color="auto" w:frame="1"/>
        </w:rPr>
        <w:t>At the upfront stage in evaluating negligence, situation is establishment of whether you owed Myra a duty. CARDWARE and Candie can only owe Myra two types of duty, these are duty of care and special duty. The former is a duty for a company to conduct itself as a judicious company, acting under analogous situations.</w:t>
      </w:r>
      <w:r w:rsidRPr="00D825A1">
        <w:rPr>
          <w:rFonts w:ascii="Times New Roman" w:hAnsi="Times New Roman" w:cs="Times New Roman"/>
        </w:rPr>
        <w:t xml:space="preserve"> For any given negligence suit, a legal practitioner would look at </w:t>
      </w:r>
      <w:r w:rsidRPr="00D825A1">
        <w:rPr>
          <w:rFonts w:ascii="Times New Roman" w:eastAsia="Times New Roman" w:hAnsi="Times New Roman" w:cs="Times New Roman"/>
          <w:spacing w:val="3"/>
          <w:bdr w:val="none" w:sz="0" w:space="0" w:color="auto" w:frame="1"/>
        </w:rPr>
        <w:t>CARDWARE and Candie</w:t>
      </w:r>
      <w:r w:rsidRPr="00D825A1">
        <w:rPr>
          <w:rFonts w:ascii="Times New Roman" w:hAnsi="Times New Roman" w:cs="Times New Roman"/>
        </w:rPr>
        <w:t xml:space="preserve">’s activities, based on which he would attempt to establish if a rational individual would have reacted similarly had the rational person been in the </w:t>
      </w:r>
      <w:r w:rsidRPr="00D825A1">
        <w:rPr>
          <w:rFonts w:ascii="Times New Roman" w:hAnsi="Times New Roman" w:cs="Times New Roman"/>
        </w:rPr>
        <w:lastRenderedPageBreak/>
        <w:t>alike situations as you (Goudkamp, 2017). A match in your behavior to a sensible person's behavior fulfills CARDWARE and Candie's duty of care. If the court establishes your company’s activities were anything less than a reasonable man’s actions in a similar situation, CARDWARE and Candies would be ruled out to have breached its duty.</w:t>
      </w:r>
    </w:p>
    <w:p w:rsidR="00346CAA" w:rsidRPr="00D825A1" w:rsidRDefault="00346CAA" w:rsidP="00346CAA">
      <w:pPr>
        <w:spacing w:line="480" w:lineRule="auto"/>
        <w:rPr>
          <w:rFonts w:ascii="Times New Roman" w:hAnsi="Times New Roman" w:cs="Times New Roman"/>
        </w:rPr>
      </w:pPr>
      <w:r w:rsidRPr="00D825A1">
        <w:rPr>
          <w:rFonts w:ascii="Times New Roman" w:eastAsia="Times New Roman" w:hAnsi="Times New Roman" w:cs="Times New Roman"/>
          <w:spacing w:val="3"/>
          <w:bdr w:val="none" w:sz="0" w:space="0" w:color="auto" w:frame="1"/>
        </w:rPr>
        <w:t xml:space="preserve">The desecration of duty or law is termed as a breach. For your company to be found guilty of negligence by law, it must have breached its duty. After establishing existence of a duty, a law court is obliged to </w:t>
      </w:r>
      <w:r w:rsidRPr="00D825A1">
        <w:rPr>
          <w:rFonts w:ascii="Times New Roman" w:hAnsi="Times New Roman" w:cs="Times New Roman"/>
        </w:rPr>
        <w:t xml:space="preserve">determine whether CARDWARE and Candie breached its duty or not (Grady, 2018). </w:t>
      </w:r>
    </w:p>
    <w:p w:rsidR="00346CAA" w:rsidRPr="00D825A1" w:rsidRDefault="00346CAA" w:rsidP="00346CAA">
      <w:pPr>
        <w:spacing w:line="480" w:lineRule="auto"/>
        <w:rPr>
          <w:rFonts w:ascii="Times New Roman" w:hAnsi="Times New Roman" w:cs="Times New Roman"/>
        </w:rPr>
      </w:pPr>
      <w:r w:rsidRPr="00D825A1">
        <w:rPr>
          <w:rFonts w:ascii="Times New Roman" w:hAnsi="Times New Roman" w:cs="Times New Roman"/>
        </w:rPr>
        <w:t xml:space="preserve">There exist two ways CARDWARE and Candie could have breached Myra’s duty. Failure to demonstrate certain expected actions or vividly acting undoubtedly. This implies that </w:t>
      </w:r>
      <w:bookmarkStart w:id="0" w:name="_Hlk33307791"/>
      <w:r w:rsidRPr="00D825A1">
        <w:rPr>
          <w:rFonts w:ascii="Times New Roman" w:hAnsi="Times New Roman" w:cs="Times New Roman"/>
        </w:rPr>
        <w:t xml:space="preserve">CARDWARE and Candie breached duty either through actions that violated the judicious person examination or through failure to demonstrate certain actions in circumstances that it was legitimately obligated to act. </w:t>
      </w:r>
    </w:p>
    <w:p w:rsidR="00346CAA" w:rsidRPr="00D825A1" w:rsidRDefault="00346CAA" w:rsidP="00346CAA">
      <w:pPr>
        <w:spacing w:line="480" w:lineRule="auto"/>
        <w:rPr>
          <w:rFonts w:ascii="Times New Roman" w:hAnsi="Times New Roman" w:cs="Times New Roman"/>
        </w:rPr>
      </w:pPr>
      <w:r w:rsidRPr="00D825A1">
        <w:rPr>
          <w:rFonts w:ascii="Times New Roman" w:hAnsi="Times New Roman" w:cs="Times New Roman"/>
        </w:rPr>
        <w:t>Any breach of law caused harm to the petitioner. On determining whether CARDWARE and Candie owed Myra a duty, as well as whether you breached that very duty; the court must demonstrate existence of definite breach of duty as well as adjacent cause of harm to Myra. Lastly, the complainant essentially has to suffer harm to prosecute for negligence. Thus, Myra must demonstrate that as a result of your company's breach, she suffered harm.</w:t>
      </w:r>
    </w:p>
    <w:p w:rsidR="00346CAA" w:rsidRPr="00D825A1" w:rsidRDefault="00346CAA" w:rsidP="00346CAA">
      <w:pPr>
        <w:spacing w:line="480" w:lineRule="auto"/>
        <w:rPr>
          <w:rFonts w:ascii="Times New Roman" w:eastAsia="Times New Roman" w:hAnsi="Times New Roman" w:cs="Times New Roman"/>
          <w:spacing w:val="3"/>
          <w:bdr w:val="none" w:sz="0" w:space="0" w:color="auto" w:frame="1"/>
        </w:rPr>
      </w:pPr>
      <w:r w:rsidRPr="00D825A1">
        <w:rPr>
          <w:rFonts w:ascii="Times New Roman" w:hAnsi="Times New Roman" w:cs="Times New Roman"/>
        </w:rPr>
        <w:t xml:space="preserve">To win through defense in Myra's lawsuit against </w:t>
      </w:r>
      <w:r w:rsidRPr="00D825A1">
        <w:rPr>
          <w:rFonts w:ascii="Times New Roman" w:eastAsia="Times New Roman" w:hAnsi="Times New Roman" w:cs="Times New Roman"/>
          <w:spacing w:val="3"/>
          <w:bdr w:val="none" w:sz="0" w:space="0" w:color="auto" w:frame="1"/>
        </w:rPr>
        <w:t xml:space="preserve">CARDWARE and Candie, you ought to refute either of above rudiments of Myra’s lawsuit. This could be achieved by introducing evidence that CARDWARE and Candie did not owe Myra a duty, did not cause her damages or exercised judicious care. Similarly, CARDWARE and Candie may limit or eliminate </w:t>
      </w:r>
      <w:r w:rsidRPr="00D825A1">
        <w:rPr>
          <w:rFonts w:ascii="Times New Roman" w:eastAsia="Times New Roman" w:hAnsi="Times New Roman" w:cs="Times New Roman"/>
          <w:spacing w:val="3"/>
          <w:bdr w:val="none" w:sz="0" w:space="0" w:color="auto" w:frame="1"/>
        </w:rPr>
        <w:lastRenderedPageBreak/>
        <w:t>liability of negligence suit by relying on a few principles. These doctrines comprise of assumption of risk, contributory negligence and comparative fault.</w:t>
      </w:r>
    </w:p>
    <w:p w:rsidR="00346CAA" w:rsidRPr="00D825A1" w:rsidRDefault="00346CAA" w:rsidP="00346CAA">
      <w:pPr>
        <w:spacing w:line="480" w:lineRule="auto"/>
        <w:rPr>
          <w:rFonts w:ascii="Times New Roman" w:hAnsi="Times New Roman" w:cs="Times New Roman"/>
        </w:rPr>
      </w:pPr>
      <w:r w:rsidRPr="00D825A1">
        <w:rPr>
          <w:rFonts w:ascii="Times New Roman" w:eastAsia="Times New Roman" w:hAnsi="Times New Roman" w:cs="Times New Roman"/>
          <w:spacing w:val="3"/>
          <w:bdr w:val="none" w:sz="0" w:space="0" w:color="auto" w:frame="1"/>
        </w:rPr>
        <w:t xml:space="preserve">You could opt to employ this celebrated - contributory negligence </w:t>
      </w:r>
      <w:r w:rsidRPr="00D825A1">
        <w:rPr>
          <w:rFonts w:ascii="Times New Roman" w:hAnsi="Times New Roman" w:cs="Times New Roman"/>
        </w:rPr>
        <w:t>defense to her claims. This would happen if Myra’s conduct falls below a certain standard essential for her defense, thus her conduct cooperating with your negligence to cause her harm. This infers that Myra would have evaded damages had she not also been negligent. Subsequently, the principle of comparative negligence would diminish Myra's recovery by the proportion with which she is at fault for her reparations (Barry, 2017).</w:t>
      </w:r>
    </w:p>
    <w:p w:rsidR="00346CAA" w:rsidRPr="00D825A1" w:rsidRDefault="00346CAA" w:rsidP="00346CAA">
      <w:pPr>
        <w:spacing w:line="480" w:lineRule="auto"/>
        <w:rPr>
          <w:rFonts w:ascii="Times New Roman" w:hAnsi="Times New Roman" w:cs="Times New Roman"/>
        </w:rPr>
      </w:pPr>
      <w:r w:rsidRPr="00D825A1">
        <w:rPr>
          <w:rFonts w:ascii="Times New Roman" w:eastAsia="Times New Roman" w:hAnsi="Times New Roman" w:cs="Times New Roman"/>
          <w:spacing w:val="3"/>
          <w:bdr w:val="none" w:sz="0" w:space="0" w:color="auto" w:frame="1"/>
        </w:rPr>
        <w:t xml:space="preserve">By opting to use </w:t>
      </w:r>
      <w:r w:rsidRPr="00D825A1">
        <w:rPr>
          <w:rFonts w:ascii="Times New Roman" w:hAnsi="Times New Roman" w:cs="Times New Roman"/>
        </w:rPr>
        <w:t xml:space="preserve">comparative negligence doctrine, three views of the principle must be considered (Hawkins, 2019). They are pure, here Myra would be granted a proportion of suffered reparations for which </w:t>
      </w:r>
      <w:r w:rsidRPr="00D825A1">
        <w:rPr>
          <w:rFonts w:ascii="Times New Roman" w:eastAsia="Times New Roman" w:hAnsi="Times New Roman" w:cs="Times New Roman"/>
          <w:spacing w:val="3"/>
          <w:bdr w:val="none" w:sz="0" w:space="0" w:color="auto" w:frame="1"/>
        </w:rPr>
        <w:t xml:space="preserve">you were </w:t>
      </w:r>
      <w:r w:rsidRPr="00D825A1">
        <w:rPr>
          <w:rFonts w:ascii="Times New Roman" w:hAnsi="Times New Roman" w:cs="Times New Roman"/>
        </w:rPr>
        <w:t>answerable. Runners up are modified, she would be granted recompense on the ground that her negligence was less than or equivalent to your negligence. Finally, sight-gross comparative negligence has it that, Myra would be granted reparations on the account of establishing her negligence was slight while yours gross in contrast.</w:t>
      </w:r>
    </w:p>
    <w:p w:rsidR="00346CAA" w:rsidRPr="00D825A1" w:rsidRDefault="00346CAA" w:rsidP="00346CAA">
      <w:pPr>
        <w:spacing w:line="480" w:lineRule="auto"/>
        <w:rPr>
          <w:rFonts w:ascii="Times New Roman" w:hAnsi="Times New Roman" w:cs="Times New Roman"/>
        </w:rPr>
      </w:pPr>
      <w:r w:rsidRPr="00D825A1">
        <w:rPr>
          <w:rFonts w:ascii="Times New Roman" w:eastAsia="Times New Roman" w:hAnsi="Times New Roman" w:cs="Times New Roman"/>
          <w:spacing w:val="3"/>
          <w:bdr w:val="none" w:sz="0" w:space="0" w:color="auto" w:frame="1"/>
        </w:rPr>
        <w:t xml:space="preserve">For the </w:t>
      </w:r>
      <w:r w:rsidRPr="00D825A1">
        <w:rPr>
          <w:rFonts w:ascii="Times New Roman" w:hAnsi="Times New Roman" w:cs="Times New Roman"/>
        </w:rPr>
        <w:t xml:space="preserve">assumption of risk doctrine to hold, Myra must have had authentic, personal acquaintance of various risks related to modeling events. And before she rose to become a modeling events </w:t>
      </w:r>
      <w:r w:rsidRPr="00D825A1">
        <w:rPr>
          <w:rFonts w:ascii="Times New Roman" w:hAnsi="Times New Roman" w:cs="Times New Roman"/>
          <w:spacing w:val="3"/>
          <w:bdr w:val="none" w:sz="0" w:space="0" w:color="auto" w:frame="1"/>
        </w:rPr>
        <w:t xml:space="preserve">judge and world-renowned model, Myra must have </w:t>
      </w:r>
      <w:r w:rsidRPr="00D825A1">
        <w:rPr>
          <w:rFonts w:ascii="Times New Roman" w:hAnsi="Times New Roman" w:cs="Times New Roman"/>
        </w:rPr>
        <w:t>voluntarily accepted the risk involved in the modeling events. Hence, it’s worth noting that assumption of risk defense applies to no extra, unidentified risks (Cummings et al., 2019).</w:t>
      </w:r>
    </w:p>
    <w:p w:rsidR="00346CAA" w:rsidRPr="00D825A1" w:rsidRDefault="00346CAA" w:rsidP="00346CAA">
      <w:pPr>
        <w:spacing w:line="480" w:lineRule="auto"/>
        <w:rPr>
          <w:rFonts w:ascii="Times New Roman" w:hAnsi="Times New Roman" w:cs="Times New Roman"/>
        </w:rPr>
      </w:pPr>
      <w:r w:rsidRPr="00D825A1">
        <w:rPr>
          <w:rFonts w:ascii="Times New Roman" w:hAnsi="Times New Roman" w:cs="Times New Roman"/>
        </w:rPr>
        <w:t xml:space="preserve">In conclusion, based on the discussed legal assessment of Myra’s suit against </w:t>
      </w:r>
      <w:r w:rsidRPr="00D825A1">
        <w:rPr>
          <w:rFonts w:ascii="Times New Roman" w:eastAsia="Times New Roman" w:hAnsi="Times New Roman" w:cs="Times New Roman"/>
          <w:spacing w:val="3"/>
          <w:bdr w:val="none" w:sz="0" w:space="0" w:color="auto" w:frame="1"/>
        </w:rPr>
        <w:t xml:space="preserve">CARDWARE and Candie, there exists no substantial evidence for breach of duty by you. Hence, CARDWARE and Candie did not cause Myra any harm to prompt a negligence lawsuit against you. As a defense against Myra’s claims, you should apply </w:t>
      </w:r>
      <w:r w:rsidRPr="00D825A1">
        <w:rPr>
          <w:rFonts w:ascii="Times New Roman" w:hAnsi="Times New Roman" w:cs="Times New Roman"/>
        </w:rPr>
        <w:t xml:space="preserve">assumption of risk doctrine. The doctrine is fit </w:t>
      </w:r>
      <w:r w:rsidRPr="00D825A1">
        <w:rPr>
          <w:rFonts w:ascii="Times New Roman" w:hAnsi="Times New Roman" w:cs="Times New Roman"/>
        </w:rPr>
        <w:lastRenderedPageBreak/>
        <w:t xml:space="preserve">as it would protect </w:t>
      </w:r>
      <w:r w:rsidRPr="00D825A1">
        <w:rPr>
          <w:rFonts w:ascii="Times New Roman" w:eastAsia="Times New Roman" w:hAnsi="Times New Roman" w:cs="Times New Roman"/>
          <w:spacing w:val="3"/>
          <w:bdr w:val="none" w:sz="0" w:space="0" w:color="auto" w:frame="1"/>
        </w:rPr>
        <w:t xml:space="preserve">you against any additional and unknown risks, as well as prove that Myra had definite, independent knowledge of </w:t>
      </w:r>
      <w:r w:rsidRPr="00D825A1">
        <w:rPr>
          <w:rFonts w:ascii="Times New Roman" w:hAnsi="Times New Roman" w:cs="Times New Roman"/>
        </w:rPr>
        <w:t>the risks involved in any modeling event.</w:t>
      </w:r>
    </w:p>
    <w:p w:rsidR="00346CAA" w:rsidRPr="000F4CDC" w:rsidRDefault="00346CAA" w:rsidP="00346CAA">
      <w:pPr>
        <w:spacing w:line="480" w:lineRule="auto"/>
        <w:rPr>
          <w:rFonts w:ascii="Times New Roman" w:eastAsia="Times New Roman" w:hAnsi="Times New Roman" w:cs="Times New Roman"/>
          <w:spacing w:val="3"/>
          <w:bdr w:val="none" w:sz="0" w:space="0" w:color="auto" w:frame="1"/>
        </w:rPr>
      </w:pPr>
    </w:p>
    <w:p w:rsidR="00346CAA" w:rsidRPr="000F4CDC" w:rsidRDefault="00346CAA" w:rsidP="00346CAA">
      <w:pPr>
        <w:spacing w:line="480" w:lineRule="auto"/>
        <w:rPr>
          <w:rFonts w:ascii="Times New Roman" w:eastAsia="Times New Roman" w:hAnsi="Times New Roman" w:cs="Times New Roman"/>
          <w:spacing w:val="3"/>
          <w:bdr w:val="none" w:sz="0" w:space="0" w:color="auto" w:frame="1"/>
        </w:rPr>
      </w:pPr>
    </w:p>
    <w:p w:rsidR="00346CAA" w:rsidRPr="000F4CDC" w:rsidRDefault="00346CAA" w:rsidP="00346CAA">
      <w:pPr>
        <w:spacing w:line="480" w:lineRule="auto"/>
        <w:rPr>
          <w:rFonts w:ascii="Times New Roman" w:hAnsi="Times New Roman" w:cs="Times New Roman"/>
        </w:rPr>
      </w:pPr>
    </w:p>
    <w:p w:rsidR="00346CAA" w:rsidRPr="000F4CDC" w:rsidRDefault="00346CAA" w:rsidP="00346CAA">
      <w:pPr>
        <w:spacing w:line="480" w:lineRule="auto"/>
        <w:rPr>
          <w:rFonts w:ascii="Times New Roman" w:hAnsi="Times New Roman" w:cs="Times New Roman"/>
        </w:rPr>
      </w:pPr>
    </w:p>
    <w:bookmarkEnd w:id="0"/>
    <w:p w:rsidR="00346CAA" w:rsidRPr="000F4CDC" w:rsidRDefault="00346CAA" w:rsidP="00346CAA">
      <w:pPr>
        <w:spacing w:line="480" w:lineRule="auto"/>
        <w:rPr>
          <w:rFonts w:ascii="Times New Roman" w:hAnsi="Times New Roman" w:cs="Times New Roman"/>
        </w:rPr>
      </w:pPr>
    </w:p>
    <w:p w:rsidR="00346CAA" w:rsidRPr="000F4CDC" w:rsidRDefault="00346CAA" w:rsidP="00346CAA">
      <w:pPr>
        <w:shd w:val="clear" w:color="auto" w:fill="FFFFFF"/>
        <w:spacing w:line="480" w:lineRule="auto"/>
        <w:jc w:val="both"/>
        <w:rPr>
          <w:rFonts w:ascii="Times New Roman" w:eastAsia="Times New Roman" w:hAnsi="Times New Roman" w:cs="Times New Roman"/>
          <w:spacing w:val="3"/>
          <w:bdr w:val="none" w:sz="0" w:space="0" w:color="auto" w:frame="1"/>
        </w:rPr>
      </w:pPr>
    </w:p>
    <w:p w:rsidR="00346CAA" w:rsidRPr="000F4CDC" w:rsidRDefault="00346CAA" w:rsidP="00346CAA">
      <w:pPr>
        <w:shd w:val="clear" w:color="auto" w:fill="FFFFFF"/>
        <w:spacing w:line="480" w:lineRule="auto"/>
        <w:jc w:val="both"/>
        <w:rPr>
          <w:rFonts w:ascii="Times New Roman" w:hAnsi="Times New Roman" w:cs="Times New Roman"/>
          <w:spacing w:val="3"/>
          <w:bdr w:val="none" w:sz="0" w:space="0" w:color="auto" w:frame="1"/>
        </w:rPr>
      </w:pPr>
    </w:p>
    <w:p w:rsidR="00346CAA" w:rsidRPr="000F4CDC" w:rsidRDefault="00346CAA" w:rsidP="00346CAA">
      <w:pPr>
        <w:spacing w:line="480" w:lineRule="auto"/>
        <w:jc w:val="both"/>
        <w:rPr>
          <w:rFonts w:ascii="Times New Roman" w:hAnsi="Times New Roman" w:cs="Times New Roman"/>
        </w:rPr>
      </w:pPr>
    </w:p>
    <w:p w:rsidR="00346CAA" w:rsidRPr="000F4CDC" w:rsidRDefault="00346CAA" w:rsidP="00346CAA">
      <w:pPr>
        <w:spacing w:line="480" w:lineRule="auto"/>
        <w:jc w:val="both"/>
        <w:rPr>
          <w:rFonts w:ascii="Times New Roman" w:hAnsi="Times New Roman" w:cs="Times New Roman"/>
        </w:rPr>
      </w:pPr>
    </w:p>
    <w:p w:rsidR="00346CAA" w:rsidRPr="000F4CDC" w:rsidRDefault="00346CAA" w:rsidP="00346CAA">
      <w:pPr>
        <w:spacing w:line="480" w:lineRule="auto"/>
        <w:jc w:val="both"/>
        <w:rPr>
          <w:rFonts w:ascii="Times New Roman" w:hAnsi="Times New Roman" w:cs="Times New Roman"/>
        </w:rPr>
      </w:pPr>
    </w:p>
    <w:p w:rsidR="00346CAA" w:rsidRPr="000F4CDC" w:rsidRDefault="00346CAA" w:rsidP="00346CAA">
      <w:pPr>
        <w:spacing w:line="480" w:lineRule="auto"/>
        <w:jc w:val="both"/>
        <w:rPr>
          <w:rFonts w:ascii="Times New Roman" w:hAnsi="Times New Roman" w:cs="Times New Roman"/>
        </w:rPr>
      </w:pPr>
    </w:p>
    <w:p w:rsidR="00346CAA" w:rsidRDefault="00346CAA" w:rsidP="00346CAA">
      <w:pPr>
        <w:spacing w:after="160" w:line="259" w:lineRule="auto"/>
        <w:rPr>
          <w:rFonts w:ascii="Times New Roman" w:hAnsi="Times New Roman" w:cs="Times New Roman"/>
        </w:rPr>
      </w:pPr>
      <w:r>
        <w:rPr>
          <w:rFonts w:ascii="Times New Roman" w:hAnsi="Times New Roman" w:cs="Times New Roman"/>
        </w:rPr>
        <w:br w:type="page"/>
      </w:r>
    </w:p>
    <w:p w:rsidR="00346CAA" w:rsidRPr="000F4CDC" w:rsidRDefault="00346CAA" w:rsidP="00346CAA">
      <w:pPr>
        <w:spacing w:line="480" w:lineRule="auto"/>
        <w:jc w:val="center"/>
        <w:rPr>
          <w:rFonts w:ascii="Times New Roman" w:hAnsi="Times New Roman" w:cs="Times New Roman"/>
        </w:rPr>
      </w:pPr>
      <w:r w:rsidRPr="000F4CDC">
        <w:rPr>
          <w:rFonts w:ascii="Times New Roman" w:hAnsi="Times New Roman" w:cs="Times New Roman"/>
        </w:rPr>
        <w:lastRenderedPageBreak/>
        <w:t>References</w:t>
      </w:r>
    </w:p>
    <w:p w:rsidR="00346CAA" w:rsidRPr="000F4CDC" w:rsidRDefault="00346CAA" w:rsidP="00346CAA">
      <w:pPr>
        <w:spacing w:line="480" w:lineRule="auto"/>
        <w:ind w:left="720" w:hanging="720"/>
        <w:jc w:val="both"/>
        <w:rPr>
          <w:rFonts w:ascii="Times New Roman" w:hAnsi="Times New Roman" w:cs="Times New Roman"/>
        </w:rPr>
      </w:pPr>
      <w:r w:rsidRPr="000F4CDC">
        <w:rPr>
          <w:rFonts w:ascii="Times New Roman" w:hAnsi="Times New Roman" w:cs="Times New Roman"/>
        </w:rPr>
        <w:t>Barry, C. (2017). Statutory modifications of contributory negligence at common law. Precedent (Sydney, NSW), (140), 12.</w:t>
      </w:r>
    </w:p>
    <w:p w:rsidR="00346CAA" w:rsidRPr="000F4CDC" w:rsidRDefault="00346CAA" w:rsidP="00346CAA">
      <w:pPr>
        <w:spacing w:line="480" w:lineRule="auto"/>
        <w:ind w:left="720" w:hanging="720"/>
        <w:jc w:val="both"/>
        <w:rPr>
          <w:rFonts w:ascii="Times New Roman" w:hAnsi="Times New Roman" w:cs="Times New Roman"/>
        </w:rPr>
      </w:pPr>
      <w:r w:rsidRPr="000F4CDC">
        <w:rPr>
          <w:rFonts w:ascii="Times New Roman" w:hAnsi="Times New Roman" w:cs="Times New Roman"/>
        </w:rPr>
        <w:t>Cummings, K. M., Gdanski, J., Veatch, N., &amp; Sebrié, E. M. (2019). Assumption of risk and the role of health warnings labels in the United States. Nicotine &amp; Tobacco Research.</w:t>
      </w:r>
    </w:p>
    <w:p w:rsidR="00346CAA" w:rsidRPr="000F4CDC" w:rsidRDefault="00346CAA" w:rsidP="00346CAA">
      <w:pPr>
        <w:spacing w:line="480" w:lineRule="auto"/>
        <w:ind w:left="720" w:hanging="720"/>
        <w:jc w:val="both"/>
        <w:rPr>
          <w:rFonts w:ascii="Times New Roman" w:hAnsi="Times New Roman" w:cs="Times New Roman"/>
        </w:rPr>
      </w:pPr>
      <w:r w:rsidRPr="000F4CDC">
        <w:rPr>
          <w:rFonts w:ascii="Times New Roman" w:hAnsi="Times New Roman" w:cs="Times New Roman"/>
        </w:rPr>
        <w:t>Goudkamp, J. (2017). Breach of Duty: A Disappearing Element of the Action in Negligence?. The Cambridge Law Journal, 76(3), 480-483.</w:t>
      </w:r>
    </w:p>
    <w:p w:rsidR="00346CAA" w:rsidRPr="000F4CDC" w:rsidRDefault="00346CAA" w:rsidP="00346CAA">
      <w:pPr>
        <w:spacing w:line="480" w:lineRule="auto"/>
        <w:ind w:left="720" w:hanging="720"/>
        <w:jc w:val="both"/>
        <w:rPr>
          <w:rFonts w:ascii="Times New Roman" w:hAnsi="Times New Roman" w:cs="Times New Roman"/>
        </w:rPr>
      </w:pPr>
      <w:r w:rsidRPr="000F4CDC">
        <w:rPr>
          <w:rFonts w:ascii="Times New Roman" w:hAnsi="Times New Roman" w:cs="Times New Roman"/>
        </w:rPr>
        <w:t>Grady, M. F. (2018). Justice Luck and the Law of Negligence. Available at SSRN 3124996.</w:t>
      </w:r>
    </w:p>
    <w:p w:rsidR="00346CAA" w:rsidRPr="000F4CDC" w:rsidRDefault="00346CAA" w:rsidP="00346CAA">
      <w:pPr>
        <w:spacing w:line="480" w:lineRule="auto"/>
        <w:ind w:left="720" w:hanging="720"/>
        <w:jc w:val="both"/>
        <w:rPr>
          <w:rFonts w:ascii="Times New Roman" w:hAnsi="Times New Roman" w:cs="Times New Roman"/>
        </w:rPr>
      </w:pPr>
      <w:r w:rsidRPr="000F4CDC">
        <w:rPr>
          <w:rFonts w:ascii="Times New Roman" w:hAnsi="Times New Roman" w:cs="Times New Roman"/>
        </w:rPr>
        <w:t>Hawkins, D. (2019). Damages Comparative Negligence. Wisconsin Law Journal.</w:t>
      </w:r>
    </w:p>
    <w:p w:rsidR="00346CAA" w:rsidRPr="000F4CDC" w:rsidRDefault="00346CAA" w:rsidP="00346CAA">
      <w:pPr>
        <w:spacing w:line="480" w:lineRule="auto"/>
        <w:ind w:left="720" w:hanging="720"/>
        <w:jc w:val="both"/>
        <w:rPr>
          <w:rFonts w:ascii="Times New Roman" w:hAnsi="Times New Roman" w:cs="Times New Roman"/>
        </w:rPr>
      </w:pPr>
      <w:r w:rsidRPr="000F4CDC">
        <w:rPr>
          <w:rFonts w:ascii="Times New Roman" w:hAnsi="Times New Roman" w:cs="Times New Roman"/>
        </w:rPr>
        <w:t>Lundy, D. W., &amp; Smith, C. M. (2017). How to Survive a Professional Negligence Lawsuit. Surgical Patient Safety: A Case-Based Approach, 181.</w:t>
      </w:r>
    </w:p>
    <w:p w:rsidR="00346CAA" w:rsidRPr="000F4CDC" w:rsidRDefault="00346CAA" w:rsidP="00346CAA">
      <w:pPr>
        <w:spacing w:line="480" w:lineRule="auto"/>
        <w:jc w:val="both"/>
        <w:rPr>
          <w:rFonts w:ascii="Times New Roman" w:hAnsi="Times New Roman" w:cs="Times New Roman"/>
        </w:rPr>
      </w:pPr>
    </w:p>
    <w:p w:rsidR="00346CAA" w:rsidRPr="000F4CDC" w:rsidRDefault="00346CAA" w:rsidP="00346CAA">
      <w:pPr>
        <w:spacing w:line="480" w:lineRule="auto"/>
        <w:rPr>
          <w:rFonts w:ascii="Times New Roman" w:hAnsi="Times New Roman" w:cs="Times New Roman"/>
        </w:rPr>
      </w:pPr>
    </w:p>
    <w:p w:rsidR="00346CAA" w:rsidRPr="000F4CDC" w:rsidRDefault="00346CAA" w:rsidP="00346CAA">
      <w:pPr>
        <w:spacing w:line="480" w:lineRule="auto"/>
        <w:jc w:val="both"/>
        <w:rPr>
          <w:rFonts w:ascii="Times New Roman" w:hAnsi="Times New Roman" w:cs="Times New Roman"/>
        </w:rPr>
      </w:pPr>
    </w:p>
    <w:p w:rsidR="00503C50" w:rsidRDefault="00503C50">
      <w:bookmarkStart w:id="1" w:name="_GoBack"/>
      <w:bookmarkEnd w:id="1"/>
    </w:p>
    <w:sectPr w:rsidR="00503C50" w:rsidSect="00F31E0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rsidR="000F4CDC" w:rsidRPr="000F4CDC" w:rsidRDefault="00346CAA">
        <w:pPr>
          <w:pStyle w:val="Header"/>
          <w:jc w:val="right"/>
          <w:rPr>
            <w:rFonts w:ascii="Times New Roman" w:hAnsi="Times New Roman" w:cs="Times New Roman"/>
          </w:rPr>
        </w:pPr>
        <w:r w:rsidRPr="000F4CDC">
          <w:rPr>
            <w:rFonts w:ascii="Times New Roman" w:hAnsi="Times New Roman" w:cs="Times New Roman"/>
          </w:rPr>
          <w:t xml:space="preserve">MEMORANDUM </w:t>
        </w:r>
        <w:r>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Pr>
            <w:rFonts w:ascii="Times New Roman" w:hAnsi="Times New Roman" w:cs="Times New Roman"/>
            <w:noProof/>
          </w:rPr>
          <w:t>6</w:t>
        </w:r>
        <w:r w:rsidRPr="000F4CDC">
          <w:rPr>
            <w:rFonts w:ascii="Times New Roman" w:hAnsi="Times New Roman" w:cs="Times New Roman"/>
            <w:noProof/>
          </w:rPr>
          <w:fldChar w:fldCharType="end"/>
        </w:r>
      </w:p>
    </w:sdtContent>
  </w:sdt>
  <w:p w:rsidR="00E572A3" w:rsidRPr="000F4CDC" w:rsidRDefault="00346CAA">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rsidR="000F4CDC" w:rsidRPr="000F4CDC" w:rsidRDefault="00346CAA">
        <w:pPr>
          <w:pStyle w:val="Header"/>
          <w:jc w:val="right"/>
          <w:rPr>
            <w:rFonts w:ascii="Times New Roman" w:hAnsi="Times New Roman" w:cs="Times New Roman"/>
          </w:rPr>
        </w:pPr>
        <w:r w:rsidRPr="000F4CDC">
          <w:rPr>
            <w:rFonts w:ascii="Times New Roman" w:hAnsi="Times New Roman" w:cs="Times New Roman"/>
          </w:rPr>
          <w:t>Running head: MEMORANDUM</w:t>
        </w:r>
        <w:r>
          <w:rPr>
            <w:rFonts w:ascii="Times New Roman" w:hAnsi="Times New Roman" w:cs="Times New Roman"/>
          </w:rPr>
          <w:t xml:space="preserve">                                                                                                  </w:t>
        </w:r>
        <w:r w:rsidRPr="000F4CDC">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Pr>
            <w:rFonts w:ascii="Times New Roman" w:hAnsi="Times New Roman" w:cs="Times New Roman"/>
            <w:noProof/>
          </w:rPr>
          <w:t>1</w:t>
        </w:r>
        <w:r w:rsidRPr="000F4CDC">
          <w:rPr>
            <w:rFonts w:ascii="Times New Roman" w:hAnsi="Times New Roman" w:cs="Times New Roman"/>
            <w:noProof/>
          </w:rPr>
          <w:fldChar w:fldCharType="end"/>
        </w:r>
      </w:p>
    </w:sdtContent>
  </w:sdt>
  <w:p w:rsidR="00F31E0B" w:rsidRPr="000F4CDC" w:rsidRDefault="00346CA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AA"/>
    <w:rsid w:val="00346CAA"/>
    <w:rsid w:val="0050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CA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AA"/>
    <w:pPr>
      <w:tabs>
        <w:tab w:val="center" w:pos="4680"/>
        <w:tab w:val="right" w:pos="9360"/>
      </w:tabs>
    </w:pPr>
  </w:style>
  <w:style w:type="character" w:customStyle="1" w:styleId="HeaderChar">
    <w:name w:val="Header Char"/>
    <w:basedOn w:val="DefaultParagraphFont"/>
    <w:link w:val="Header"/>
    <w:uiPriority w:val="99"/>
    <w:rsid w:val="00346CAA"/>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CA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AA"/>
    <w:pPr>
      <w:tabs>
        <w:tab w:val="center" w:pos="4680"/>
        <w:tab w:val="right" w:pos="9360"/>
      </w:tabs>
    </w:pPr>
  </w:style>
  <w:style w:type="character" w:customStyle="1" w:styleId="HeaderChar">
    <w:name w:val="Header Char"/>
    <w:basedOn w:val="DefaultParagraphFont"/>
    <w:link w:val="Header"/>
    <w:uiPriority w:val="99"/>
    <w:rsid w:val="00346CA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5522</Characters>
  <Application>Microsoft Office Word</Application>
  <DocSecurity>0</DocSecurity>
  <Lines>46</Lines>
  <Paragraphs>12</Paragraphs>
  <ScaleCrop>false</ScaleCrop>
  <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2020-02-24T12:04:00Z</dcterms:created>
  <dcterms:modified xsi:type="dcterms:W3CDTF">2020-02-24T12:04:00Z</dcterms:modified>
</cp:coreProperties>
</file>